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6F69" w14:textId="77777777" w:rsidR="007F1D06" w:rsidRDefault="005E180F" w:rsidP="0002268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y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y-GB"/>
        </w:rPr>
        <w:t>Phụ lục</w:t>
      </w:r>
      <w:r w:rsidR="007F1D06" w:rsidRPr="005E18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y-GB"/>
        </w:rPr>
        <w:t>2</w:t>
      </w:r>
    </w:p>
    <w:p w14:paraId="013EEC82" w14:textId="19AB7D7D" w:rsidR="007F1D06" w:rsidRPr="005E180F" w:rsidRDefault="00EE67E0" w:rsidP="00EE67E0">
      <w:pPr>
        <w:shd w:val="clear" w:color="auto" w:fill="FFFFFF"/>
        <w:spacing w:before="360"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y-GB"/>
        </w:rPr>
        <w:t>1. Các chứng chỉ Ngoại ngữ</w:t>
      </w:r>
      <w:r w:rsidR="006928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cy-GB"/>
        </w:rPr>
        <w:t xml:space="preserve"> được sử dụng làm minh chứng cho trình độ ngoại ngữ của người dự tuyển</w:t>
      </w:r>
      <w:r w:rsidR="007F1D06" w:rsidRPr="005E18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y-GB"/>
        </w:rPr>
        <w:br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3150"/>
        <w:gridCol w:w="3510"/>
      </w:tblGrid>
      <w:tr w:rsidR="00CD2B3B" w14:paraId="41D64840" w14:textId="0BC8CDDB" w:rsidTr="00CD2B3B">
        <w:tc>
          <w:tcPr>
            <w:tcW w:w="715" w:type="dxa"/>
          </w:tcPr>
          <w:p w14:paraId="6603F723" w14:textId="77777777" w:rsidR="00CD2B3B" w:rsidRPr="00022686" w:rsidRDefault="00CD2B3B" w:rsidP="000226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68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0" w:type="dxa"/>
          </w:tcPr>
          <w:p w14:paraId="412CF799" w14:textId="77777777" w:rsidR="00CD2B3B" w:rsidRPr="00022686" w:rsidRDefault="00CD2B3B" w:rsidP="000226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686">
              <w:rPr>
                <w:rFonts w:ascii="Times New Roman" w:hAnsi="Times New Roman" w:cs="Times New Roman"/>
                <w:b/>
                <w:sz w:val="26"/>
                <w:szCs w:val="26"/>
              </w:rPr>
              <w:t>Ngôn ngữ</w:t>
            </w:r>
          </w:p>
        </w:tc>
        <w:tc>
          <w:tcPr>
            <w:tcW w:w="3150" w:type="dxa"/>
          </w:tcPr>
          <w:p w14:paraId="75236D83" w14:textId="77777777" w:rsidR="00CD2B3B" w:rsidRPr="00022686" w:rsidRDefault="00CD2B3B" w:rsidP="000226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686">
              <w:rPr>
                <w:rFonts w:ascii="Times New Roman" w:hAnsi="Times New Roman" w:cs="Times New Roman"/>
                <w:b/>
                <w:sz w:val="26"/>
                <w:szCs w:val="26"/>
              </w:rPr>
              <w:t>Bằng/Chứng chỉ/Chứng nhận</w:t>
            </w:r>
          </w:p>
        </w:tc>
        <w:tc>
          <w:tcPr>
            <w:tcW w:w="3510" w:type="dxa"/>
          </w:tcPr>
          <w:p w14:paraId="6B2D3EFC" w14:textId="77777777" w:rsidR="00CD2B3B" w:rsidRPr="00022686" w:rsidRDefault="00CD2B3B" w:rsidP="0002268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686">
              <w:rPr>
                <w:rFonts w:ascii="Times New Roman" w:hAnsi="Times New Roman" w:cs="Times New Roman"/>
                <w:b/>
                <w:sz w:val="26"/>
                <w:szCs w:val="26"/>
              </w:rPr>
              <w:t>Trình độ/Thang điểm</w:t>
            </w:r>
          </w:p>
        </w:tc>
      </w:tr>
      <w:tr w:rsidR="00CD2B3B" w14:paraId="6E0AD8FE" w14:textId="2F23B345" w:rsidTr="00CD2B3B">
        <w:tc>
          <w:tcPr>
            <w:tcW w:w="715" w:type="dxa"/>
            <w:vMerge w:val="restart"/>
          </w:tcPr>
          <w:p w14:paraId="549E9F15" w14:textId="77777777" w:rsidR="00CD2B3B" w:rsidRPr="00393B0D" w:rsidRDefault="00CD2B3B" w:rsidP="00393B0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</w:tcPr>
          <w:p w14:paraId="6449CEAE" w14:textId="77777777" w:rsidR="00CD2B3B" w:rsidRPr="00022686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</w:p>
        </w:tc>
        <w:tc>
          <w:tcPr>
            <w:tcW w:w="3150" w:type="dxa"/>
          </w:tcPr>
          <w:p w14:paraId="7E8AD22F" w14:textId="77777777" w:rsidR="00CD2B3B" w:rsidRPr="005E180F" w:rsidRDefault="00CD2B3B" w:rsidP="000226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TOEFL iBT</w:t>
            </w:r>
          </w:p>
        </w:tc>
        <w:tc>
          <w:tcPr>
            <w:tcW w:w="3510" w:type="dxa"/>
          </w:tcPr>
          <w:p w14:paraId="2EAE4146" w14:textId="77777777" w:rsidR="00CD2B3B" w:rsidRPr="00022686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46 trở lên</w:t>
            </w:r>
          </w:p>
        </w:tc>
      </w:tr>
      <w:tr w:rsidR="00CD2B3B" w14:paraId="69FA436B" w14:textId="4E779620" w:rsidTr="00CD2B3B">
        <w:tc>
          <w:tcPr>
            <w:tcW w:w="715" w:type="dxa"/>
            <w:vMerge/>
          </w:tcPr>
          <w:p w14:paraId="31337BD0" w14:textId="77777777" w:rsidR="00CD2B3B" w:rsidRPr="00393B0D" w:rsidRDefault="00CD2B3B" w:rsidP="00393B0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14:paraId="1F21B800" w14:textId="77777777" w:rsidR="00CD2B3B" w:rsidRPr="00022686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B9C9EE1" w14:textId="77777777" w:rsidR="00CD2B3B" w:rsidRPr="005E180F" w:rsidRDefault="00CD2B3B" w:rsidP="000226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IELTS</w:t>
            </w:r>
          </w:p>
        </w:tc>
        <w:tc>
          <w:tcPr>
            <w:tcW w:w="3510" w:type="dxa"/>
          </w:tcPr>
          <w:p w14:paraId="7288177E" w14:textId="77777777" w:rsidR="00CD2B3B" w:rsidRPr="00022686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5.5 trở lên</w:t>
            </w:r>
          </w:p>
        </w:tc>
      </w:tr>
      <w:tr w:rsidR="00CD2B3B" w14:paraId="5E14AC97" w14:textId="604C0B05" w:rsidTr="00CD2B3B">
        <w:tc>
          <w:tcPr>
            <w:tcW w:w="715" w:type="dxa"/>
            <w:vMerge/>
          </w:tcPr>
          <w:p w14:paraId="40F94972" w14:textId="77777777" w:rsidR="00CD2B3B" w:rsidRPr="00393B0D" w:rsidRDefault="00CD2B3B" w:rsidP="00393B0D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14:paraId="368371A2" w14:textId="77777777" w:rsidR="00CD2B3B" w:rsidRPr="00022686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BAB17CF" w14:textId="77777777" w:rsidR="00CD2B3B" w:rsidRPr="005E180F" w:rsidRDefault="00CD2B3B" w:rsidP="00075929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 xml:space="preserve">Cambridge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Assessment English</w:t>
            </w:r>
          </w:p>
        </w:tc>
        <w:tc>
          <w:tcPr>
            <w:tcW w:w="3510" w:type="dxa"/>
          </w:tcPr>
          <w:p w14:paraId="1D79ED97" w14:textId="77777777" w:rsidR="00CD2B3B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B2 First/</w:t>
            </w:r>
          </w:p>
          <w:p w14:paraId="3B05F190" w14:textId="7FC79B6E" w:rsidR="00CD2B3B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B2 Business Vantage/</w:t>
            </w:r>
          </w:p>
          <w:p w14:paraId="1DBD56BD" w14:textId="6393E004" w:rsidR="00CD2B3B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Linguaskill</w:t>
            </w:r>
          </w:p>
          <w:p w14:paraId="03B551ED" w14:textId="77777777" w:rsidR="00CD2B3B" w:rsidRPr="00022686" w:rsidRDefault="00CD2B3B" w:rsidP="0002268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Thang điểm: từ 160 trở lên</w:t>
            </w:r>
          </w:p>
        </w:tc>
      </w:tr>
      <w:tr w:rsidR="00CD2B3B" w14:paraId="7764E850" w14:textId="77777777" w:rsidTr="00CD2B3B">
        <w:tc>
          <w:tcPr>
            <w:tcW w:w="715" w:type="dxa"/>
            <w:vMerge/>
          </w:tcPr>
          <w:p w14:paraId="72240B84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14:paraId="6BDAB612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087B8C4" w14:textId="1756AC96" w:rsidR="00CD2B3B" w:rsidRPr="005E180F" w:rsidRDefault="00CD2B3B" w:rsidP="003F1E5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Aptis ESOL</w:t>
            </w:r>
          </w:p>
        </w:tc>
        <w:tc>
          <w:tcPr>
            <w:tcW w:w="3510" w:type="dxa"/>
          </w:tcPr>
          <w:p w14:paraId="31C80428" w14:textId="7A119539" w:rsidR="00CD2B3B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B2</w:t>
            </w:r>
            <w:r w:rsidR="00C51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D2B3B" w14:paraId="2478513D" w14:textId="03A86DF2" w:rsidTr="00CD2B3B">
        <w:tc>
          <w:tcPr>
            <w:tcW w:w="715" w:type="dxa"/>
          </w:tcPr>
          <w:p w14:paraId="5A2DFF3C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1A58D98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Pháp</w:t>
            </w:r>
          </w:p>
        </w:tc>
        <w:tc>
          <w:tcPr>
            <w:tcW w:w="3150" w:type="dxa"/>
          </w:tcPr>
          <w:p w14:paraId="3735D02B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CIEP/Alliance française diplomas</w:t>
            </w:r>
          </w:p>
        </w:tc>
        <w:tc>
          <w:tcPr>
            <w:tcW w:w="3510" w:type="dxa"/>
          </w:tcPr>
          <w:p w14:paraId="267FD432" w14:textId="77777777" w:rsidR="00CD2B3B" w:rsidRPr="005E180F" w:rsidRDefault="00CD2B3B" w:rsidP="003F1E5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cy-GB"/>
              </w:rPr>
              <w:t xml:space="preserve">TCF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cy-GB"/>
              </w:rPr>
              <w:t>từ 400 trở lên</w:t>
            </w:r>
          </w:p>
          <w:p w14:paraId="10FC3C16" w14:textId="77777777" w:rsidR="00CD2B3B" w:rsidRPr="005E180F" w:rsidRDefault="00CD2B3B" w:rsidP="003F1E53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cy-GB"/>
              </w:rPr>
              <w:t>DELF B2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cy-GB"/>
              </w:rPr>
              <w:t xml:space="preserve"> trở lên</w:t>
            </w:r>
          </w:p>
          <w:p w14:paraId="3799DB21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 w:eastAsia="cy-GB"/>
              </w:rPr>
              <w:t>Diplôme de Langue</w:t>
            </w:r>
          </w:p>
        </w:tc>
      </w:tr>
      <w:tr w:rsidR="00CD2B3B" w14:paraId="6072473F" w14:textId="4A26AAEF" w:rsidTr="00CD2B3B">
        <w:tc>
          <w:tcPr>
            <w:tcW w:w="715" w:type="dxa"/>
            <w:vMerge w:val="restart"/>
          </w:tcPr>
          <w:p w14:paraId="36D1593E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</w:tcPr>
          <w:p w14:paraId="18596F53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Đức</w:t>
            </w:r>
          </w:p>
        </w:tc>
        <w:tc>
          <w:tcPr>
            <w:tcW w:w="3150" w:type="dxa"/>
          </w:tcPr>
          <w:p w14:paraId="3A1087CA" w14:textId="77777777" w:rsidR="00CD2B3B" w:rsidRPr="00022686" w:rsidRDefault="00CD2B3B" w:rsidP="003F1E53">
            <w:pPr>
              <w:tabs>
                <w:tab w:val="left" w:pos="978"/>
              </w:tabs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Goethe -Institut</w:t>
            </w:r>
          </w:p>
        </w:tc>
        <w:tc>
          <w:tcPr>
            <w:tcW w:w="3510" w:type="dxa"/>
          </w:tcPr>
          <w:p w14:paraId="2736128C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cy-GB"/>
              </w:rPr>
              <w:t>Goethe- Zertifikat B2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 w:eastAsia="cy-GB"/>
              </w:rPr>
              <w:t xml:space="preserve"> trở lên</w:t>
            </w:r>
          </w:p>
        </w:tc>
      </w:tr>
      <w:tr w:rsidR="00CD2B3B" w14:paraId="706B4727" w14:textId="4D669904" w:rsidTr="00CD2B3B">
        <w:tc>
          <w:tcPr>
            <w:tcW w:w="715" w:type="dxa"/>
            <w:vMerge/>
          </w:tcPr>
          <w:p w14:paraId="1B24132E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</w:tcPr>
          <w:p w14:paraId="520096A3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9FDDA1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German TestDaF language certificate</w:t>
            </w:r>
          </w:p>
        </w:tc>
        <w:tc>
          <w:tcPr>
            <w:tcW w:w="3510" w:type="dxa"/>
          </w:tcPr>
          <w:p w14:paraId="3F065157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TestDaF level 4 (TDN4) trở lên</w:t>
            </w:r>
          </w:p>
        </w:tc>
      </w:tr>
      <w:tr w:rsidR="00CD2B3B" w14:paraId="54555EA0" w14:textId="1CFF8F59" w:rsidTr="00CD2B3B">
        <w:tc>
          <w:tcPr>
            <w:tcW w:w="715" w:type="dxa"/>
          </w:tcPr>
          <w:p w14:paraId="5E95871F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296D9617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Trung Quốc</w:t>
            </w:r>
          </w:p>
        </w:tc>
        <w:tc>
          <w:tcPr>
            <w:tcW w:w="3150" w:type="dxa"/>
          </w:tcPr>
          <w:p w14:paraId="6C23C46C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Chinese Hanyu Shuiping Kaoshi (HSK)</w:t>
            </w:r>
          </w:p>
        </w:tc>
        <w:tc>
          <w:tcPr>
            <w:tcW w:w="3510" w:type="dxa"/>
          </w:tcPr>
          <w:p w14:paraId="33335BCC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 xml:space="preserve">HSK level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4 trở lên</w:t>
            </w:r>
          </w:p>
        </w:tc>
      </w:tr>
      <w:tr w:rsidR="00CD2B3B" w14:paraId="13F47157" w14:textId="73DDDB1C" w:rsidTr="00CD2B3B">
        <w:tc>
          <w:tcPr>
            <w:tcW w:w="715" w:type="dxa"/>
          </w:tcPr>
          <w:p w14:paraId="6A1BFED5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F0C21FF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Nhật</w:t>
            </w:r>
          </w:p>
        </w:tc>
        <w:tc>
          <w:tcPr>
            <w:tcW w:w="3150" w:type="dxa"/>
          </w:tcPr>
          <w:p w14:paraId="1F810DB4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Japanese  Language Proficiency  Test (JLPT)</w:t>
            </w:r>
          </w:p>
        </w:tc>
        <w:tc>
          <w:tcPr>
            <w:tcW w:w="3510" w:type="dxa"/>
          </w:tcPr>
          <w:p w14:paraId="34F7729B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N3 trở lên</w:t>
            </w:r>
          </w:p>
        </w:tc>
      </w:tr>
      <w:tr w:rsidR="00CD2B3B" w14:paraId="6ADDF52E" w14:textId="2405AFE3" w:rsidTr="00CD2B3B">
        <w:tc>
          <w:tcPr>
            <w:tcW w:w="715" w:type="dxa"/>
          </w:tcPr>
          <w:p w14:paraId="23ACBF98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53EEB68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Nga</w:t>
            </w:r>
          </w:p>
        </w:tc>
        <w:tc>
          <w:tcPr>
            <w:tcW w:w="3150" w:type="dxa"/>
          </w:tcPr>
          <w:p w14:paraId="49D9CFAB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ТРКИ - Тест по русскому языку как иностранному (TORFL  - Test of Russian as a Foreign Language)</w:t>
            </w:r>
          </w:p>
        </w:tc>
        <w:tc>
          <w:tcPr>
            <w:tcW w:w="3510" w:type="dxa"/>
          </w:tcPr>
          <w:p w14:paraId="4400B9A0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E18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>ТРКИ-2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y-GB"/>
              </w:rPr>
              <w:t xml:space="preserve"> trở lên</w:t>
            </w:r>
          </w:p>
        </w:tc>
      </w:tr>
      <w:tr w:rsidR="00CD2B3B" w14:paraId="078B0699" w14:textId="77C01CEA" w:rsidTr="00CD2B3B">
        <w:tc>
          <w:tcPr>
            <w:tcW w:w="715" w:type="dxa"/>
          </w:tcPr>
          <w:p w14:paraId="6013DF8B" w14:textId="77777777" w:rsidR="00CD2B3B" w:rsidRPr="00393B0D" w:rsidRDefault="00CD2B3B" w:rsidP="003F1E5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573BED2" w14:textId="6E7135E8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Các ngôn ngữ tiếng nước ngoài </w:t>
            </w:r>
          </w:p>
        </w:tc>
        <w:tc>
          <w:tcPr>
            <w:tcW w:w="3150" w:type="dxa"/>
          </w:tcPr>
          <w:p w14:paraId="746C6AA2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chỉ đánh giá theo Khung năng lực ngoại ngữ 6 bậc dùng cho Việt Nam</w:t>
            </w:r>
          </w:p>
        </w:tc>
        <w:tc>
          <w:tcPr>
            <w:tcW w:w="3510" w:type="dxa"/>
          </w:tcPr>
          <w:p w14:paraId="7E43BBDD" w14:textId="77777777" w:rsidR="00CD2B3B" w:rsidRPr="00022686" w:rsidRDefault="00CD2B3B" w:rsidP="003F1E5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bậc 4 trở lên</w:t>
            </w:r>
          </w:p>
        </w:tc>
      </w:tr>
    </w:tbl>
    <w:p w14:paraId="7B88D20D" w14:textId="77777777" w:rsidR="008A348B" w:rsidRDefault="008A348B"/>
    <w:p w14:paraId="5DBBD8BD" w14:textId="09D1CA66" w:rsidR="0089606E" w:rsidRDefault="0089606E" w:rsidP="004F2D3A">
      <w:pPr>
        <w:spacing w:before="6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87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9606E">
        <w:rPr>
          <w:sz w:val="26"/>
          <w:szCs w:val="26"/>
        </w:rPr>
        <w:t xml:space="preserve">. </w:t>
      </w:r>
      <w:r w:rsidRPr="0089606E">
        <w:rPr>
          <w:rFonts w:ascii="Times New Roman" w:hAnsi="Times New Roman" w:cs="Times New Roman"/>
          <w:sz w:val="26"/>
          <w:szCs w:val="26"/>
        </w:rPr>
        <w:t xml:space="preserve">Chứng chỉ </w:t>
      </w:r>
      <w:r w:rsidR="00D01E5A">
        <w:rPr>
          <w:rFonts w:ascii="Times New Roman" w:hAnsi="Times New Roman" w:cs="Times New Roman"/>
          <w:sz w:val="26"/>
          <w:szCs w:val="26"/>
        </w:rPr>
        <w:t xml:space="preserve">năng lực ngoại ngữ </w:t>
      </w:r>
      <w:r w:rsidRPr="0089606E">
        <w:rPr>
          <w:rFonts w:ascii="Times New Roman" w:hAnsi="Times New Roman" w:cs="Times New Roman"/>
          <w:sz w:val="26"/>
          <w:szCs w:val="26"/>
        </w:rPr>
        <w:t>đủ điều kiện</w:t>
      </w:r>
      <w:r w:rsidR="00D01E5A">
        <w:rPr>
          <w:rFonts w:ascii="Times New Roman" w:hAnsi="Times New Roman" w:cs="Times New Roman"/>
          <w:sz w:val="26"/>
          <w:szCs w:val="26"/>
        </w:rPr>
        <w:t xml:space="preserve"> nộp hồ sơ dự tuyển được quy định như</w:t>
      </w:r>
      <w:r w:rsidRPr="0089606E">
        <w:rPr>
          <w:rFonts w:ascii="Times New Roman" w:hAnsi="Times New Roman" w:cs="Times New Roman"/>
          <w:sz w:val="26"/>
          <w:szCs w:val="26"/>
        </w:rPr>
        <w:t xml:space="preserve"> sau:</w:t>
      </w:r>
    </w:p>
    <w:p w14:paraId="7882A686" w14:textId="0101B6F2" w:rsidR="00D01E5A" w:rsidRPr="0089606E" w:rsidRDefault="00D01E5A" w:rsidP="004F2D3A">
      <w:pPr>
        <w:spacing w:before="6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89606E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Các chứng chỉ năng lực ngoại ngữ của nước ngoài đ</w:t>
      </w:r>
      <w:r w:rsidRPr="0089606E">
        <w:rPr>
          <w:rFonts w:ascii="Times New Roman" w:hAnsi="Times New Roman" w:cs="Times New Roman"/>
          <w:sz w:val="26"/>
          <w:szCs w:val="26"/>
        </w:rPr>
        <w:t xml:space="preserve">ược cấp trước ngày 10/9/2022 </w:t>
      </w:r>
      <w:r w:rsidRPr="002D55F9">
        <w:rPr>
          <w:rFonts w:ascii="Times New Roman" w:hAnsi="Times New Roman" w:cs="Times New Roman"/>
          <w:i/>
          <w:iCs/>
          <w:sz w:val="26"/>
          <w:szCs w:val="26"/>
        </w:rPr>
        <w:t>(là ngày bắt đầu hiệu lực thi hành của Thông tư số 11/2</w:t>
      </w:r>
      <w:r w:rsidR="009010C3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Pr="002D55F9">
        <w:rPr>
          <w:rFonts w:ascii="Times New Roman" w:hAnsi="Times New Roman" w:cs="Times New Roman"/>
          <w:i/>
          <w:iCs/>
          <w:sz w:val="26"/>
          <w:szCs w:val="26"/>
        </w:rPr>
        <w:t>22/TT-BGD ĐT ngày 26/07/2022 Quy định về liên kết tổ chức thi cấp chứng chỉ năng lực ngoại ngữ của nước ngoài)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06E">
        <w:rPr>
          <w:rFonts w:ascii="Times New Roman" w:hAnsi="Times New Roman" w:cs="Times New Roman"/>
          <w:sz w:val="26"/>
          <w:szCs w:val="26"/>
        </w:rPr>
        <w:t xml:space="preserve">và còn thời hạn 02 năm tính đến ngày thí sinh </w:t>
      </w:r>
      <w:r w:rsidR="00B23631">
        <w:rPr>
          <w:rFonts w:ascii="Times New Roman" w:hAnsi="Times New Roman" w:cs="Times New Roman"/>
          <w:sz w:val="26"/>
          <w:szCs w:val="26"/>
        </w:rPr>
        <w:t>nộp hồ sơ dự tuyển</w:t>
      </w:r>
      <w:r w:rsidR="00DA24DA">
        <w:rPr>
          <w:rFonts w:ascii="Times New Roman" w:hAnsi="Times New Roman" w:cs="Times New Roman"/>
          <w:sz w:val="26"/>
          <w:szCs w:val="26"/>
        </w:rPr>
        <w:t>;</w:t>
      </w:r>
    </w:p>
    <w:p w14:paraId="473B5FE2" w14:textId="49349DE8" w:rsidR="00D01E5A" w:rsidRPr="0089606E" w:rsidRDefault="00D01E5A" w:rsidP="004F2D3A">
      <w:pPr>
        <w:spacing w:before="6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06E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 xml:space="preserve">2. Các chứng chỉ năng lực ngoại ngữ của nước ngoài </w:t>
      </w:r>
      <w:r w:rsidRPr="0089606E">
        <w:rPr>
          <w:rFonts w:ascii="Times New Roman" w:hAnsi="Times New Roman" w:cs="Times New Roman"/>
          <w:sz w:val="26"/>
          <w:szCs w:val="26"/>
        </w:rPr>
        <w:t xml:space="preserve">sau ngày 10/9/2022 </w:t>
      </w:r>
      <w:r w:rsidR="00141794">
        <w:rPr>
          <w:rFonts w:ascii="Times New Roman" w:hAnsi="Times New Roman" w:cs="Times New Roman"/>
          <w:sz w:val="26"/>
          <w:szCs w:val="26"/>
        </w:rPr>
        <w:t>được cấp bởi các</w:t>
      </w:r>
      <w:r w:rsidRPr="0089606E">
        <w:rPr>
          <w:rFonts w:ascii="Times New Roman" w:hAnsi="Times New Roman" w:cs="Times New Roman"/>
          <w:sz w:val="26"/>
          <w:szCs w:val="26"/>
        </w:rPr>
        <w:t xml:space="preserve"> </w:t>
      </w:r>
      <w:r w:rsidR="0062452B">
        <w:rPr>
          <w:rFonts w:ascii="Times New Roman" w:hAnsi="Times New Roman" w:cs="Times New Roman"/>
          <w:sz w:val="26"/>
          <w:szCs w:val="26"/>
        </w:rPr>
        <w:t xml:space="preserve">cơ sở </w:t>
      </w:r>
      <w:r w:rsidR="00141794">
        <w:rPr>
          <w:rFonts w:ascii="Times New Roman" w:hAnsi="Times New Roman" w:cs="Times New Roman"/>
          <w:sz w:val="26"/>
          <w:szCs w:val="26"/>
        </w:rPr>
        <w:t>đã</w:t>
      </w:r>
      <w:r w:rsidRPr="0089606E">
        <w:rPr>
          <w:rFonts w:ascii="Times New Roman" w:hAnsi="Times New Roman" w:cs="Times New Roman"/>
          <w:sz w:val="26"/>
          <w:szCs w:val="26"/>
        </w:rPr>
        <w:t xml:space="preserve"> </w:t>
      </w:r>
      <w:r w:rsidR="0062452B">
        <w:rPr>
          <w:rFonts w:ascii="Times New Roman" w:hAnsi="Times New Roman" w:cs="Times New Roman"/>
          <w:sz w:val="26"/>
          <w:szCs w:val="26"/>
        </w:rPr>
        <w:t xml:space="preserve">có quyết định của Bộ trưởng Bộ Giáo dục và Đào tạo phê duyệt liên kết tổ chức thi cấp chứng chỉ </w:t>
      </w:r>
      <w:r w:rsidR="0062452B" w:rsidRPr="0062452B">
        <w:rPr>
          <w:rFonts w:ascii="Times New Roman" w:hAnsi="Times New Roman" w:cs="Times New Roman"/>
          <w:i/>
          <w:iCs/>
          <w:sz w:val="26"/>
          <w:szCs w:val="26"/>
        </w:rPr>
        <w:t>(danh sách</w:t>
      </w:r>
      <w:r w:rsidRPr="0062452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2452B" w:rsidRPr="0062452B">
        <w:rPr>
          <w:rFonts w:ascii="Times New Roman" w:hAnsi="Times New Roman" w:cs="Times New Roman"/>
          <w:i/>
          <w:iCs/>
          <w:sz w:val="26"/>
          <w:szCs w:val="26"/>
        </w:rPr>
        <w:t xml:space="preserve">cơ sở được phê duyệt liên kết tổ chức thi cấp chứng chỉ được công bố trên Cổng thông tin điện tử của Bộ Giáo dục và Đào tạo: </w:t>
      </w:r>
      <w:hyperlink r:id="rId5" w:history="1">
        <w:r w:rsidR="0062452B" w:rsidRPr="00896611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http://moet.gov.vn</w:t>
        </w:r>
      </w:hyperlink>
      <w:r w:rsidR="0062452B">
        <w:rPr>
          <w:rFonts w:ascii="Times New Roman" w:hAnsi="Times New Roman" w:cs="Times New Roman"/>
          <w:i/>
          <w:iCs/>
          <w:sz w:val="26"/>
          <w:szCs w:val="26"/>
        </w:rPr>
        <w:t xml:space="preserve"> và trang thông tin điện tử của Cục Quản lý chất lượng </w:t>
      </w:r>
      <w:hyperlink r:id="rId6" w:history="1">
        <w:r w:rsidR="0062452B" w:rsidRPr="00896611">
          <w:rPr>
            <w:rStyle w:val="Hyperlink"/>
            <w:rFonts w:ascii="Times New Roman" w:hAnsi="Times New Roman" w:cs="Times New Roman"/>
            <w:i/>
            <w:iCs/>
            <w:sz w:val="26"/>
            <w:szCs w:val="26"/>
          </w:rPr>
          <w:t>http://moet.gov.vn</w:t>
        </w:r>
      </w:hyperlink>
      <w:r w:rsidR="0062452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2452B" w:rsidRPr="0062452B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3CC38FB2" w14:textId="2A7C3D83" w:rsidR="00CD2B3B" w:rsidRDefault="00D01E5A" w:rsidP="004F2D3A">
      <w:pPr>
        <w:spacing w:before="6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DA">
        <w:rPr>
          <w:rFonts w:ascii="Times New Roman" w:eastAsia="Times New Roman" w:hAnsi="Times New Roman" w:cs="Times New Roman"/>
          <w:sz w:val="26"/>
          <w:szCs w:val="26"/>
          <w:lang w:eastAsia="cy-GB"/>
        </w:rPr>
        <w:t xml:space="preserve">2.3. Chứng chỉ </w:t>
      </w:r>
      <w:r w:rsidR="00CD2B3B" w:rsidRPr="00DA24DA">
        <w:rPr>
          <w:rFonts w:ascii="Times New Roman" w:eastAsia="Times New Roman" w:hAnsi="Times New Roman" w:cs="Times New Roman"/>
          <w:sz w:val="26"/>
          <w:szCs w:val="26"/>
          <w:lang w:eastAsia="cy-GB"/>
        </w:rPr>
        <w:t xml:space="preserve">TOEFL iBT: </w:t>
      </w:r>
      <w:r w:rsidR="00CD2B3B" w:rsidRPr="00DA24DA">
        <w:rPr>
          <w:rFonts w:ascii="Times New Roman" w:hAnsi="Times New Roman" w:cs="Times New Roman"/>
          <w:sz w:val="26"/>
          <w:szCs w:val="26"/>
        </w:rPr>
        <w:t>chứng chỉ do IIG Việt Nam cấp</w:t>
      </w:r>
      <w:r w:rsidR="002A744D" w:rsidRPr="00DA24DA">
        <w:rPr>
          <w:rFonts w:ascii="Times New Roman" w:hAnsi="Times New Roman" w:cs="Times New Roman"/>
          <w:sz w:val="26"/>
          <w:szCs w:val="26"/>
        </w:rPr>
        <w:t xml:space="preserve">; </w:t>
      </w:r>
      <w:r w:rsidR="00B23631" w:rsidRPr="00DA24DA">
        <w:rPr>
          <w:rFonts w:ascii="Times New Roman" w:hAnsi="Times New Roman" w:cs="Times New Roman"/>
          <w:sz w:val="26"/>
          <w:szCs w:val="26"/>
        </w:rPr>
        <w:t xml:space="preserve">chứng chỉ cấp cho người dự thi theo hình thức Home Edition trước ngày 10/9/2022 và còn </w:t>
      </w:r>
      <w:r w:rsidR="00377B50">
        <w:rPr>
          <w:rFonts w:ascii="Times New Roman" w:hAnsi="Times New Roman" w:cs="Times New Roman"/>
          <w:sz w:val="26"/>
          <w:szCs w:val="26"/>
        </w:rPr>
        <w:t>thời hạn 02 năm</w:t>
      </w:r>
      <w:r w:rsidR="00B23631" w:rsidRPr="00DA24DA">
        <w:rPr>
          <w:rFonts w:ascii="Times New Roman" w:hAnsi="Times New Roman" w:cs="Times New Roman"/>
          <w:sz w:val="26"/>
          <w:szCs w:val="26"/>
        </w:rPr>
        <w:t xml:space="preserve"> tính đến ngày 31/8/2023.</w:t>
      </w:r>
    </w:p>
    <w:p w14:paraId="045CBD47" w14:textId="00705CA8" w:rsidR="00C510BB" w:rsidRPr="00DA24DA" w:rsidRDefault="00C510BB" w:rsidP="004F2D3A">
      <w:pPr>
        <w:spacing w:before="6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5192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A24DA">
        <w:rPr>
          <w:rFonts w:ascii="Times New Roman" w:eastAsia="Times New Roman" w:hAnsi="Times New Roman" w:cs="Times New Roman"/>
          <w:sz w:val="26"/>
          <w:szCs w:val="26"/>
          <w:lang w:eastAsia="cy-GB"/>
        </w:rPr>
        <w:t>Chứng chỉ</w:t>
      </w:r>
      <w:r>
        <w:rPr>
          <w:rFonts w:ascii="Times New Roman" w:eastAsia="Times New Roman" w:hAnsi="Times New Roman" w:cs="Times New Roman"/>
          <w:sz w:val="26"/>
          <w:szCs w:val="26"/>
          <w:lang w:eastAsia="cy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Aptis ESOL: được cấp sau ngày 31/3/2023 (</w:t>
      </w:r>
      <w:r w:rsidR="00730E1F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ngày có hiệu lực của </w:t>
      </w:r>
      <w:r w:rsidR="00730E1F" w:rsidRPr="00730E1F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Quyết định 925/QĐ-BGDĐT </w:t>
      </w:r>
      <w:r w:rsidR="00730E1F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ngày 31/3/2023 của Bộ trưởng Bộ </w:t>
      </w:r>
      <w:r w:rsidR="00730E1F" w:rsidRPr="001758D3">
        <w:rPr>
          <w:rFonts w:ascii="Times New Roman" w:hAnsi="Times New Roman" w:cs="Times New Roman"/>
          <w:sz w:val="25"/>
          <w:szCs w:val="25"/>
        </w:rPr>
        <w:t xml:space="preserve">GD&amp;ĐT </w:t>
      </w:r>
      <w:r w:rsidR="00730E1F" w:rsidRPr="00730E1F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công nhận các cấp độ của chứng chỉ tiếng Anh Ap</w:t>
      </w:r>
      <w:r w:rsidR="00705601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t</w:t>
      </w:r>
      <w:r w:rsidR="00730E1F" w:rsidRPr="00730E1F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is ESOL International Certificate tương đương với các cấp bậc của khung năng lực ngoại ngữ 6 bậc dùng cho Việt Nam</w:t>
      </w:r>
      <w:r w:rsidR="00730E1F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) và do các cơ sở </w:t>
      </w:r>
      <w:r w:rsidR="00730E1F">
        <w:rPr>
          <w:rFonts w:ascii="Times New Roman" w:hAnsi="Times New Roman" w:cs="Times New Roman"/>
          <w:sz w:val="26"/>
          <w:szCs w:val="26"/>
        </w:rPr>
        <w:t>đã</w:t>
      </w:r>
      <w:r w:rsidR="00730E1F" w:rsidRPr="0089606E">
        <w:rPr>
          <w:rFonts w:ascii="Times New Roman" w:hAnsi="Times New Roman" w:cs="Times New Roman"/>
          <w:sz w:val="26"/>
          <w:szCs w:val="26"/>
        </w:rPr>
        <w:t xml:space="preserve"> </w:t>
      </w:r>
      <w:r w:rsidR="00730E1F">
        <w:rPr>
          <w:rFonts w:ascii="Times New Roman" w:hAnsi="Times New Roman" w:cs="Times New Roman"/>
          <w:sz w:val="26"/>
          <w:szCs w:val="26"/>
        </w:rPr>
        <w:t>có quyết định của Bộ trưởng Bộ Giáo dục và Đào tạo phê duyệt liên kết tổ chức thi cấp chứng chỉ</w:t>
      </w:r>
      <w:r w:rsidR="0088329B">
        <w:rPr>
          <w:rFonts w:ascii="Times New Roman" w:hAnsi="Times New Roman" w:cs="Times New Roman"/>
          <w:sz w:val="26"/>
          <w:szCs w:val="26"/>
        </w:rPr>
        <w:t>.</w:t>
      </w:r>
    </w:p>
    <w:p w14:paraId="66E0F032" w14:textId="71A23A9E" w:rsidR="006455E5" w:rsidRPr="00DA24DA" w:rsidRDefault="00CD2B3B" w:rsidP="004F2D3A">
      <w:pPr>
        <w:spacing w:before="60"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 </w:t>
      </w:r>
      <w:r w:rsidR="00D01E5A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2.</w:t>
      </w:r>
      <w:r w:rsidR="00651922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5</w:t>
      </w:r>
      <w:r w:rsidR="00D01E5A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Chứng chỉ </w:t>
      </w:r>
      <w:r w:rsidR="00E55099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>ngoại ngữ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 theo Khung năng lực ngoại ngữ 6 bậc dùng cho Việt Nam: </w:t>
      </w:r>
      <w:r w:rsidRPr="001758D3">
        <w:rPr>
          <w:rFonts w:ascii="Times New Roman" w:hAnsi="Times New Roman" w:cs="Times New Roman"/>
          <w:sz w:val="25"/>
          <w:szCs w:val="25"/>
        </w:rPr>
        <w:t xml:space="preserve">được cấp bởi các </w:t>
      </w:r>
      <w:r w:rsidR="00D01E5A">
        <w:rPr>
          <w:rFonts w:ascii="Times New Roman" w:hAnsi="Times New Roman" w:cs="Times New Roman"/>
          <w:sz w:val="25"/>
          <w:szCs w:val="25"/>
        </w:rPr>
        <w:t>c</w:t>
      </w:r>
      <w:r>
        <w:rPr>
          <w:rFonts w:ascii="Times New Roman" w:hAnsi="Times New Roman" w:cs="Times New Roman"/>
          <w:sz w:val="25"/>
          <w:szCs w:val="25"/>
        </w:rPr>
        <w:t>ơ sở</w:t>
      </w:r>
      <w:r w:rsidRPr="001758D3">
        <w:rPr>
          <w:rFonts w:ascii="Times New Roman" w:hAnsi="Times New Roman" w:cs="Times New Roman"/>
          <w:sz w:val="25"/>
          <w:szCs w:val="25"/>
        </w:rPr>
        <w:t xml:space="preserve"> đã được Bộ GD&amp;ĐT cho phép tổ chức thi, cấp văn bằng, chứng chỉ theo Thông tư số 23/2017/TT-BGDĐT ngày 19/</w:t>
      </w:r>
      <w:r w:rsidRPr="00A76E31">
        <w:rPr>
          <w:rFonts w:ascii="Times New Roman" w:hAnsi="Times New Roman" w:cs="Times New Roman"/>
          <w:sz w:val="25"/>
          <w:szCs w:val="25"/>
        </w:rPr>
        <w:t xml:space="preserve">9/2017 và Thông tư 24/2021/TT-BGĐT ngày 08/9/2021. Danh sách </w:t>
      </w:r>
      <w:r w:rsidR="006455E5">
        <w:rPr>
          <w:rFonts w:ascii="Times New Roman" w:hAnsi="Times New Roman" w:cs="Times New Roman"/>
          <w:sz w:val="25"/>
          <w:szCs w:val="25"/>
        </w:rPr>
        <w:t xml:space="preserve">các cơ sở được Bộ </w:t>
      </w:r>
      <w:r w:rsidR="00DA24DA" w:rsidRPr="001758D3">
        <w:rPr>
          <w:rFonts w:ascii="Times New Roman" w:hAnsi="Times New Roman" w:cs="Times New Roman"/>
          <w:sz w:val="25"/>
          <w:szCs w:val="25"/>
        </w:rPr>
        <w:t xml:space="preserve">GD&amp;ĐT </w:t>
      </w:r>
      <w:r w:rsidR="006455E5" w:rsidRPr="00DA24DA">
        <w:rPr>
          <w:rFonts w:ascii="Times New Roman" w:hAnsi="Times New Roman" w:cs="Times New Roman"/>
          <w:sz w:val="25"/>
          <w:szCs w:val="25"/>
        </w:rPr>
        <w:t xml:space="preserve">cấp phép </w:t>
      </w:r>
      <w:r w:rsidR="00B72718" w:rsidRPr="00DA24DA">
        <w:rPr>
          <w:rFonts w:ascii="Times New Roman" w:hAnsi="Times New Roman" w:cs="Times New Roman"/>
          <w:sz w:val="25"/>
          <w:szCs w:val="25"/>
        </w:rPr>
        <w:t xml:space="preserve">được cập nhật tính đến ngày </w:t>
      </w:r>
      <w:r w:rsidR="007E0398" w:rsidRPr="0089606E">
        <w:rPr>
          <w:rFonts w:ascii="Times New Roman" w:hAnsi="Times New Roman" w:cs="Times New Roman"/>
          <w:sz w:val="26"/>
          <w:szCs w:val="26"/>
        </w:rPr>
        <w:t xml:space="preserve">thí sinh </w:t>
      </w:r>
      <w:r w:rsidR="007E0398">
        <w:rPr>
          <w:rFonts w:ascii="Times New Roman" w:hAnsi="Times New Roman" w:cs="Times New Roman"/>
          <w:sz w:val="26"/>
          <w:szCs w:val="26"/>
        </w:rPr>
        <w:t>nộp hồ sơ dự tuyển</w:t>
      </w:r>
      <w:r w:rsidRPr="00DA24DA">
        <w:rPr>
          <w:rFonts w:ascii="Times New Roman" w:hAnsi="Times New Roman" w:cs="Times New Roman"/>
          <w:sz w:val="25"/>
          <w:szCs w:val="25"/>
        </w:rPr>
        <w:t>;</w:t>
      </w:r>
    </w:p>
    <w:p w14:paraId="24030D74" w14:textId="2C000C93" w:rsidR="006455E5" w:rsidRPr="00DA24DA" w:rsidRDefault="006455E5" w:rsidP="007E0398">
      <w:pPr>
        <w:spacing w:before="60" w:after="120" w:line="276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DA24DA">
        <w:rPr>
          <w:rFonts w:ascii="Times New Roman" w:hAnsi="Times New Roman" w:cs="Times New Roman"/>
          <w:sz w:val="25"/>
          <w:szCs w:val="25"/>
        </w:rPr>
        <w:t>Mẫu chứng chỉ xem ở mục 2.</w:t>
      </w:r>
      <w:r w:rsidR="00651922">
        <w:rPr>
          <w:rFonts w:ascii="Times New Roman" w:hAnsi="Times New Roman" w:cs="Times New Roman"/>
          <w:sz w:val="25"/>
          <w:szCs w:val="25"/>
        </w:rPr>
        <w:t>6</w:t>
      </w:r>
    </w:p>
    <w:p w14:paraId="68CA5142" w14:textId="77777777" w:rsidR="006455E5" w:rsidRPr="00DA24DA" w:rsidRDefault="006455E5">
      <w:pPr>
        <w:rPr>
          <w:rFonts w:ascii="Times New Roman" w:hAnsi="Times New Roman" w:cs="Times New Roman"/>
          <w:sz w:val="26"/>
          <w:szCs w:val="26"/>
        </w:rPr>
      </w:pPr>
      <w:r w:rsidRPr="00DA24DA">
        <w:rPr>
          <w:rFonts w:ascii="Times New Roman" w:hAnsi="Times New Roman" w:cs="Times New Roman"/>
          <w:sz w:val="26"/>
          <w:szCs w:val="26"/>
        </w:rPr>
        <w:br w:type="page"/>
      </w:r>
    </w:p>
    <w:p w14:paraId="3543B35E" w14:textId="29922D4A" w:rsidR="00A020A6" w:rsidRDefault="006455E5" w:rsidP="00375834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5192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55099">
        <w:rPr>
          <w:rFonts w:ascii="Times New Roman" w:hAnsi="Times New Roman" w:cs="Times New Roman"/>
          <w:sz w:val="26"/>
          <w:szCs w:val="26"/>
        </w:rPr>
        <w:t xml:space="preserve">Mẫu chứng chỉ ngoại ngữ theo </w:t>
      </w:r>
      <w:r w:rsidR="00E55099">
        <w:rPr>
          <w:rFonts w:ascii="Times New Roman" w:eastAsia="Times New Roman" w:hAnsi="Times New Roman" w:cs="Times New Roman"/>
          <w:color w:val="000000"/>
          <w:sz w:val="26"/>
          <w:szCs w:val="26"/>
          <w:lang w:eastAsia="cy-GB"/>
        </w:rPr>
        <w:t xml:space="preserve">theo Khung năng lực ngoại ngữ 6 bậc dùng cho Việt Nam </w:t>
      </w:r>
      <w:r w:rsidR="00E55099" w:rsidRPr="00E550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y-GB"/>
        </w:rPr>
        <w:t>(theo Thông báo số 691/QLCL-QLVBCC ngày 08 tháng 5 năm 2020 của Cục Quản lý chất lượng</w:t>
      </w:r>
      <w:r w:rsidR="00E550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y-GB"/>
        </w:rPr>
        <w:t>, Bộ Giáo dục và Đào tạo</w:t>
      </w:r>
      <w:r w:rsidR="00E55099" w:rsidRPr="00E5509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cy-GB"/>
        </w:rPr>
        <w:t>)</w:t>
      </w:r>
    </w:p>
    <w:p w14:paraId="7E3E6D6A" w14:textId="19D0F6CF" w:rsidR="00E55099" w:rsidRPr="0089606E" w:rsidRDefault="00E55099" w:rsidP="00375834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09917CE" wp14:editId="0C32DA95">
            <wp:extent cx="5486400" cy="8060055"/>
            <wp:effectExtent l="0" t="0" r="0" b="0"/>
            <wp:docPr id="1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DEBDE" w14:textId="5809617A" w:rsidR="0089606E" w:rsidRDefault="0089606E" w:rsidP="00375834">
      <w:pPr>
        <w:jc w:val="both"/>
      </w:pPr>
    </w:p>
    <w:sectPr w:rsidR="0089606E" w:rsidSect="0056542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69E4"/>
    <w:multiLevelType w:val="hybridMultilevel"/>
    <w:tmpl w:val="392E13A4"/>
    <w:lvl w:ilvl="0" w:tplc="7B6A31F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B80"/>
    <w:multiLevelType w:val="hybridMultilevel"/>
    <w:tmpl w:val="26E21424"/>
    <w:lvl w:ilvl="0" w:tplc="384E63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2568">
    <w:abstractNumId w:val="0"/>
  </w:num>
  <w:num w:numId="2" w16cid:durableId="23706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06"/>
    <w:rsid w:val="00022686"/>
    <w:rsid w:val="00075929"/>
    <w:rsid w:val="000F73EA"/>
    <w:rsid w:val="00111927"/>
    <w:rsid w:val="00141794"/>
    <w:rsid w:val="001758D3"/>
    <w:rsid w:val="001F6143"/>
    <w:rsid w:val="0025048A"/>
    <w:rsid w:val="002A53F6"/>
    <w:rsid w:val="002A744D"/>
    <w:rsid w:val="002D55F9"/>
    <w:rsid w:val="00323C04"/>
    <w:rsid w:val="00375834"/>
    <w:rsid w:val="00377B50"/>
    <w:rsid w:val="00393B0D"/>
    <w:rsid w:val="003B594B"/>
    <w:rsid w:val="003F1E53"/>
    <w:rsid w:val="00431CC7"/>
    <w:rsid w:val="0046738F"/>
    <w:rsid w:val="004F2D3A"/>
    <w:rsid w:val="00541959"/>
    <w:rsid w:val="0056542A"/>
    <w:rsid w:val="005947BA"/>
    <w:rsid w:val="005B452D"/>
    <w:rsid w:val="005D4DEF"/>
    <w:rsid w:val="005E180F"/>
    <w:rsid w:val="0061079D"/>
    <w:rsid w:val="00612AFB"/>
    <w:rsid w:val="0062452B"/>
    <w:rsid w:val="006455E5"/>
    <w:rsid w:val="00651922"/>
    <w:rsid w:val="00692820"/>
    <w:rsid w:val="00705601"/>
    <w:rsid w:val="00730E1F"/>
    <w:rsid w:val="00745694"/>
    <w:rsid w:val="007731A8"/>
    <w:rsid w:val="007E0398"/>
    <w:rsid w:val="007F1D06"/>
    <w:rsid w:val="0088329B"/>
    <w:rsid w:val="0089606E"/>
    <w:rsid w:val="008A348B"/>
    <w:rsid w:val="00900287"/>
    <w:rsid w:val="009010C3"/>
    <w:rsid w:val="00996AFE"/>
    <w:rsid w:val="00A020A6"/>
    <w:rsid w:val="00A14ABC"/>
    <w:rsid w:val="00A76E31"/>
    <w:rsid w:val="00A8148D"/>
    <w:rsid w:val="00B23631"/>
    <w:rsid w:val="00B64FA2"/>
    <w:rsid w:val="00B72718"/>
    <w:rsid w:val="00B976FE"/>
    <w:rsid w:val="00BF3ECC"/>
    <w:rsid w:val="00C510BB"/>
    <w:rsid w:val="00CD2B3B"/>
    <w:rsid w:val="00CE362E"/>
    <w:rsid w:val="00D01E5A"/>
    <w:rsid w:val="00D128ED"/>
    <w:rsid w:val="00D22A2D"/>
    <w:rsid w:val="00D448A6"/>
    <w:rsid w:val="00DA24DA"/>
    <w:rsid w:val="00DB0D1B"/>
    <w:rsid w:val="00E55099"/>
    <w:rsid w:val="00E86871"/>
    <w:rsid w:val="00EC694C"/>
    <w:rsid w:val="00EE67E0"/>
    <w:rsid w:val="00F72C82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BE6D"/>
  <w15:chartTrackingRefBased/>
  <w15:docId w15:val="{F54C443D-F13A-4A65-8912-24C8E56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t.gov.vn" TargetMode="External"/><Relationship Id="rId5" Type="http://schemas.openxmlformats.org/officeDocument/2006/relationships/hyperlink" Target="http://moet.gov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</dc:creator>
  <cp:keywords/>
  <dc:description/>
  <cp:lastModifiedBy>Lê Hồng Nga</cp:lastModifiedBy>
  <cp:revision>50</cp:revision>
  <cp:lastPrinted>2023-06-15T04:05:00Z</cp:lastPrinted>
  <dcterms:created xsi:type="dcterms:W3CDTF">2017-08-30T09:12:00Z</dcterms:created>
  <dcterms:modified xsi:type="dcterms:W3CDTF">2023-06-19T09:41:00Z</dcterms:modified>
</cp:coreProperties>
</file>